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7E" w:rsidRDefault="00391F7E" w:rsidP="00391F7E">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w:t>
      </w:r>
      <w:r w:rsidR="002C28A7">
        <w:rPr>
          <w:rFonts w:ascii="TimesNewRomanPSMT,Italic" w:hAnsi="TimesNewRomanPSMT,Italic" w:cs="TimesNewRomanPSMT,Italic"/>
          <w:i/>
          <w:iCs/>
          <w:color w:val="1F1A17"/>
          <w:sz w:val="20"/>
          <w:szCs w:val="20"/>
        </w:rPr>
        <w:t>51</w:t>
      </w:r>
      <w:r>
        <w:rPr>
          <w:rFonts w:ascii="TimesNewRomanPSMT,Italic" w:hAnsi="TimesNewRomanPSMT,Italic" w:cs="TimesNewRomanPSMT,Italic"/>
          <w:i/>
          <w:iCs/>
          <w:color w:val="1F1A17"/>
          <w:sz w:val="20"/>
          <w:szCs w:val="20"/>
        </w:rPr>
        <w:t>-</w:t>
      </w:r>
      <w:r w:rsidR="002C28A7">
        <w:rPr>
          <w:rFonts w:ascii="TimesNewRomanPSMT,Italic" w:hAnsi="TimesNewRomanPSMT,Italic" w:cs="TimesNewRomanPSMT,Italic"/>
          <w:i/>
          <w:iCs/>
          <w:color w:val="1F1A17"/>
          <w:sz w:val="20"/>
          <w:szCs w:val="20"/>
        </w:rPr>
        <w:t>61</w:t>
      </w:r>
      <w:r>
        <w:rPr>
          <w:rFonts w:ascii="TimesNewRomanPSMT,Italic" w:hAnsi="TimesNewRomanPSMT,Italic" w:cs="TimesNewRomanPSMT,Italic"/>
          <w:i/>
          <w:iCs/>
          <w:color w:val="1F1A17"/>
          <w:sz w:val="20"/>
          <w:szCs w:val="20"/>
        </w:rPr>
        <w:t>(2015)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C3635B" w:rsidRDefault="00C3635B" w:rsidP="00C3635B">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Impact of microfinance on SHG members: a socio-economic analysis in</w:t>
      </w:r>
    </w:p>
    <w:p w:rsidR="00C3635B" w:rsidRDefault="00C3635B" w:rsidP="00C3635B">
      <w:pPr>
        <w:autoSpaceDE w:val="0"/>
        <w:autoSpaceDN w:val="0"/>
        <w:adjustRightInd w:val="0"/>
        <w:spacing w:after="0" w:line="240" w:lineRule="auto"/>
        <w:jc w:val="center"/>
        <w:rPr>
          <w:rFonts w:ascii="TimesNewRomanPSMT,Bold" w:hAnsi="TimesNewRomanPSMT,Bold" w:cs="TimesNewRomanPSMT,Bold"/>
          <w:b/>
          <w:bCs/>
          <w:color w:val="1F1A17"/>
          <w:sz w:val="28"/>
          <w:szCs w:val="28"/>
        </w:rPr>
      </w:pPr>
      <w:proofErr w:type="spellStart"/>
      <w:r>
        <w:rPr>
          <w:rFonts w:ascii="TimesNewRomanPSMT,Bold" w:hAnsi="TimesNewRomanPSMT,Bold" w:cs="TimesNewRomanPSMT,Bold"/>
          <w:b/>
          <w:bCs/>
          <w:color w:val="1F1A17"/>
          <w:sz w:val="28"/>
          <w:szCs w:val="28"/>
        </w:rPr>
        <w:t>Burdwan</w:t>
      </w:r>
      <w:proofErr w:type="spellEnd"/>
      <w:r>
        <w:rPr>
          <w:rFonts w:ascii="TimesNewRomanPSMT,Bold" w:hAnsi="TimesNewRomanPSMT,Bold" w:cs="TimesNewRomanPSMT,Bold"/>
          <w:b/>
          <w:bCs/>
          <w:color w:val="1F1A17"/>
          <w:sz w:val="28"/>
          <w:szCs w:val="28"/>
        </w:rPr>
        <w:t xml:space="preserve"> district of West Bengal, India</w:t>
      </w:r>
    </w:p>
    <w:p w:rsidR="00C3635B" w:rsidRDefault="00C3635B" w:rsidP="00C3635B">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S. MUKHARJEE,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 xml:space="preserve">D. C. PRADHAN, </w:t>
      </w:r>
      <w:r>
        <w:rPr>
          <w:rFonts w:ascii="TimesNewRomanPSMT,Bold" w:hAnsi="TimesNewRomanPSMT,Bold" w:cs="TimesNewRomanPSMT,Bold"/>
          <w:b/>
          <w:bCs/>
          <w:color w:val="1F1A17"/>
          <w:sz w:val="12"/>
          <w:szCs w:val="12"/>
        </w:rPr>
        <w:t>2</w:t>
      </w:r>
      <w:r>
        <w:rPr>
          <w:rFonts w:ascii="TimesNewRomanPSMT,Bold" w:hAnsi="TimesNewRomanPSMT,Bold" w:cs="TimesNewRomanPSMT,Bold"/>
          <w:b/>
          <w:bCs/>
          <w:color w:val="1F1A17"/>
          <w:sz w:val="24"/>
          <w:szCs w:val="24"/>
        </w:rPr>
        <w:t>S. HALDAR,</w:t>
      </w:r>
    </w:p>
    <w:p w:rsidR="00C3635B" w:rsidRDefault="00C3635B" w:rsidP="00C3635B">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12"/>
          <w:szCs w:val="12"/>
        </w:rPr>
        <w:t>3</w:t>
      </w:r>
      <w:r>
        <w:rPr>
          <w:rFonts w:ascii="TimesNewRomanPSMT,Bold" w:hAnsi="TimesNewRomanPSMT,Bold" w:cs="TimesNewRomanPSMT,Bold"/>
          <w:b/>
          <w:bCs/>
          <w:color w:val="1F1A17"/>
          <w:sz w:val="24"/>
          <w:szCs w:val="24"/>
        </w:rPr>
        <w:t xml:space="preserve">S. K. M. RAHAMAN AND </w:t>
      </w:r>
      <w:r>
        <w:rPr>
          <w:rFonts w:ascii="TimesNewRomanPSMT,Bold" w:hAnsi="TimesNewRomanPSMT,Bold" w:cs="TimesNewRomanPSMT,Bold"/>
          <w:b/>
          <w:bCs/>
          <w:color w:val="1F1A17"/>
          <w:sz w:val="12"/>
          <w:szCs w:val="12"/>
        </w:rPr>
        <w:t>4</w:t>
      </w:r>
      <w:r>
        <w:rPr>
          <w:rFonts w:ascii="TimesNewRomanPSMT,Bold" w:hAnsi="TimesNewRomanPSMT,Bold" w:cs="TimesNewRomanPSMT,Bold"/>
          <w:b/>
          <w:bCs/>
          <w:color w:val="1F1A17"/>
          <w:sz w:val="24"/>
          <w:szCs w:val="24"/>
        </w:rPr>
        <w:t>SOWMYASHREE B. V.</w:t>
      </w:r>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 xml:space="preserve">Farmers’ Innovation and Advisory Centre, </w:t>
      </w:r>
      <w:proofErr w:type="spellStart"/>
      <w:r>
        <w:rPr>
          <w:rFonts w:ascii="TimesNewRomanPSMT,Italic" w:hAnsi="TimesNewRomanPSMT,Italic" w:cs="TimesNewRomanPSMT,Italic"/>
          <w:i/>
          <w:iCs/>
          <w:color w:val="1F1A17"/>
          <w:sz w:val="20"/>
          <w:szCs w:val="20"/>
        </w:rPr>
        <w:t>Burdwan</w:t>
      </w:r>
      <w:proofErr w:type="spellEnd"/>
      <w:r>
        <w:rPr>
          <w:rFonts w:ascii="TimesNewRomanPSMT,Italic" w:hAnsi="TimesNewRomanPSMT,Italic" w:cs="TimesNewRomanPSMT,Italic"/>
          <w:i/>
          <w:iCs/>
          <w:color w:val="1F1A17"/>
          <w:sz w:val="20"/>
          <w:szCs w:val="20"/>
        </w:rPr>
        <w:t>, West Bengal;</w:t>
      </w:r>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1</w:t>
      </w:r>
      <w:r>
        <w:rPr>
          <w:rFonts w:ascii="TimesNewRomanPSMT,Italic" w:hAnsi="TimesNewRomanPSMT,Italic" w:cs="TimesNewRomanPSMT,Italic"/>
          <w:i/>
          <w:iCs/>
          <w:color w:val="1F1A17"/>
          <w:sz w:val="20"/>
          <w:szCs w:val="20"/>
        </w:rPr>
        <w:t>Department of Agricultural Economics, College of Agriculture, OUAT, Bhubaneswar</w:t>
      </w:r>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2</w:t>
      </w:r>
      <w:r>
        <w:rPr>
          <w:rFonts w:ascii="TimesNewRomanPSMT,Italic" w:hAnsi="TimesNewRomanPSMT,Italic" w:cs="TimesNewRomanPSMT,Italic"/>
          <w:i/>
          <w:iCs/>
          <w:color w:val="1F1A17"/>
          <w:sz w:val="20"/>
          <w:szCs w:val="20"/>
        </w:rPr>
        <w:t xml:space="preserve">College of Horticulture, </w:t>
      </w:r>
      <w:proofErr w:type="spellStart"/>
      <w:r>
        <w:rPr>
          <w:rFonts w:ascii="TimesNewRomanPSMT,Italic" w:hAnsi="TimesNewRomanPSMT,Italic" w:cs="TimesNewRomanPSMT,Italic"/>
          <w:i/>
          <w:iCs/>
          <w:color w:val="1F1A17"/>
          <w:sz w:val="20"/>
          <w:szCs w:val="20"/>
        </w:rPr>
        <w:t>Chiplima</w:t>
      </w:r>
      <w:proofErr w:type="spellEnd"/>
      <w:r>
        <w:rPr>
          <w:rFonts w:ascii="TimesNewRomanPSMT,Italic" w:hAnsi="TimesNewRomanPSMT,Italic" w:cs="TimesNewRomanPSMT,Italic"/>
          <w:i/>
          <w:iCs/>
          <w:color w:val="1F1A17"/>
          <w:sz w:val="20"/>
          <w:szCs w:val="20"/>
        </w:rPr>
        <w:t>, OUAT</w:t>
      </w:r>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3</w:t>
      </w:r>
      <w:r>
        <w:rPr>
          <w:rFonts w:ascii="TimesNewRomanPSMT,Italic" w:hAnsi="TimesNewRomanPSMT,Italic" w:cs="TimesNewRomanPSMT,Italic"/>
          <w:i/>
          <w:iCs/>
          <w:color w:val="1F1A17"/>
          <w:sz w:val="20"/>
          <w:szCs w:val="20"/>
        </w:rPr>
        <w:t>Department of Agricultural Economics, RMVU, Ranchi, Jharkhand</w:t>
      </w:r>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4</w:t>
      </w:r>
      <w:r>
        <w:rPr>
          <w:rFonts w:ascii="TimesNewRomanPSMT,Italic" w:hAnsi="TimesNewRomanPSMT,Italic" w:cs="TimesNewRomanPSMT,Italic"/>
          <w:i/>
          <w:iCs/>
          <w:color w:val="1F1A17"/>
          <w:sz w:val="20"/>
          <w:szCs w:val="20"/>
        </w:rPr>
        <w:t xml:space="preserve">Department of Economics, Karnataka University, </w:t>
      </w:r>
      <w:proofErr w:type="spellStart"/>
      <w:r>
        <w:rPr>
          <w:rFonts w:ascii="TimesNewRomanPSMT,Italic" w:hAnsi="TimesNewRomanPSMT,Italic" w:cs="TimesNewRomanPSMT,Italic"/>
          <w:i/>
          <w:iCs/>
          <w:color w:val="1F1A17"/>
          <w:sz w:val="20"/>
          <w:szCs w:val="20"/>
        </w:rPr>
        <w:t>Dharwad</w:t>
      </w:r>
      <w:proofErr w:type="spellEnd"/>
    </w:p>
    <w:p w:rsidR="00C3635B" w:rsidRDefault="00C3635B" w:rsidP="00C3635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Received:22-10-2014; Revised:23-11-2014; Accepted:25-11-2014</w:t>
      </w:r>
    </w:p>
    <w:p w:rsidR="00C3635B" w:rsidRDefault="00C3635B" w:rsidP="00C3635B">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C3635B" w:rsidRDefault="00C3635B" w:rsidP="00C3635B">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An investigation was carried out to study the Impact of micro-finance on SHG members in </w:t>
      </w:r>
      <w:proofErr w:type="spellStart"/>
      <w:r>
        <w:rPr>
          <w:rFonts w:ascii="TimesNewRomanPSMT,Italic" w:hAnsi="TimesNewRomanPSMT,Italic" w:cs="TimesNewRomanPSMT,Italic"/>
          <w:i/>
          <w:iCs/>
          <w:color w:val="1F1A17"/>
          <w:sz w:val="18"/>
          <w:szCs w:val="18"/>
        </w:rPr>
        <w:t>Burdwan</w:t>
      </w:r>
      <w:proofErr w:type="spellEnd"/>
      <w:r>
        <w:rPr>
          <w:rFonts w:ascii="TimesNewRomanPSMT,Italic" w:hAnsi="TimesNewRomanPSMT,Italic" w:cs="TimesNewRomanPSMT,Italic"/>
          <w:i/>
          <w:iCs/>
          <w:color w:val="1F1A17"/>
          <w:sz w:val="18"/>
          <w:szCs w:val="18"/>
        </w:rPr>
        <w:t xml:space="preserve"> district in West Bengal during2011-12. A sample of 60 SHGs members were chosen from two villages viz. </w:t>
      </w:r>
      <w:proofErr w:type="spellStart"/>
      <w:r>
        <w:rPr>
          <w:rFonts w:ascii="TimesNewRomanPSMT,Italic" w:hAnsi="TimesNewRomanPSMT,Italic" w:cs="TimesNewRomanPSMT,Italic"/>
          <w:i/>
          <w:iCs/>
          <w:color w:val="1F1A17"/>
          <w:sz w:val="18"/>
          <w:szCs w:val="18"/>
        </w:rPr>
        <w:t>Gopal</w:t>
      </w:r>
      <w:proofErr w:type="spellEnd"/>
      <w:r>
        <w:rPr>
          <w:rFonts w:ascii="TimesNewRomanPSMT,Italic" w:hAnsi="TimesNewRomanPSMT,Italic" w:cs="TimesNewRomanPSMT,Italic"/>
          <w:i/>
          <w:iCs/>
          <w:color w:val="1F1A17"/>
          <w:sz w:val="18"/>
          <w:szCs w:val="18"/>
        </w:rPr>
        <w:t xml:space="preserve"> Nagar (village-1) nearer to block head </w:t>
      </w:r>
      <w:proofErr w:type="spellStart"/>
      <w:r>
        <w:rPr>
          <w:rFonts w:ascii="TimesNewRomanPSMT,Italic" w:hAnsi="TimesNewRomanPSMT,Italic" w:cs="TimesNewRomanPSMT,Italic"/>
          <w:i/>
          <w:iCs/>
          <w:color w:val="1F1A17"/>
          <w:sz w:val="18"/>
          <w:szCs w:val="18"/>
        </w:rPr>
        <w:t>quarterand</w:t>
      </w:r>
      <w:proofErr w:type="spellEnd"/>
      <w:r>
        <w:rPr>
          <w:rFonts w:ascii="TimesNewRomanPSMT,Italic" w:hAnsi="TimesNewRomanPSMT,Italic" w:cs="TimesNewRomanPSMT,Italic"/>
          <w:i/>
          <w:iCs/>
          <w:color w:val="1F1A17"/>
          <w:sz w:val="18"/>
          <w:szCs w:val="18"/>
        </w:rPr>
        <w:t xml:space="preserve"> the </w:t>
      </w:r>
      <w:proofErr w:type="spellStart"/>
      <w:r>
        <w:rPr>
          <w:rFonts w:ascii="TimesNewRomanPSMT,Italic" w:hAnsi="TimesNewRomanPSMT,Italic" w:cs="TimesNewRomanPSMT,Italic"/>
          <w:i/>
          <w:iCs/>
          <w:color w:val="1F1A17"/>
          <w:sz w:val="18"/>
          <w:szCs w:val="18"/>
        </w:rPr>
        <w:t>Rosui</w:t>
      </w:r>
      <w:proofErr w:type="spellEnd"/>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Khondo</w:t>
      </w:r>
      <w:proofErr w:type="spellEnd"/>
      <w:r>
        <w:rPr>
          <w:rFonts w:ascii="TimesNewRomanPSMT,Italic" w:hAnsi="TimesNewRomanPSMT,Italic" w:cs="TimesNewRomanPSMT,Italic"/>
          <w:i/>
          <w:iCs/>
          <w:color w:val="1F1A17"/>
          <w:sz w:val="18"/>
          <w:szCs w:val="18"/>
        </w:rPr>
        <w:t xml:space="preserve"> (village-2) farthest from the block head through SRSWOR method. The microfinance through SHGs helped the members in capital formation activities in livestock and poultry raring, agriculture, irrigation structure, educating their children’s, etc. The on farm employment generating has been escalated while, women participation in income generation activities are greatest impact. On an average, the SHGs members’ households earned Rs. 39327 and Rs. 26683 respectively in village-1 and village-2. The t statistics of average total income showed that members in village-1 could generate significantly higher income than village-2 as they could access the district head quarter very frequently. The Kendall’s W test showed that members from both the villages unanimously accepted that the benefits from micro-credit (SHG model) and were highly satisfied.</w:t>
      </w:r>
    </w:p>
    <w:p w:rsidR="00C3635B" w:rsidRDefault="00C3635B" w:rsidP="00C3635B">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18"/>
          <w:szCs w:val="18"/>
        </w:rPr>
        <w:t xml:space="preserve">Keywords: </w:t>
      </w:r>
      <w:r>
        <w:rPr>
          <w:rFonts w:ascii="TimesNewRomanPSMT" w:hAnsi="TimesNewRomanPSMT" w:cs="TimesNewRomanPSMT"/>
          <w:color w:val="1F1A17"/>
          <w:sz w:val="18"/>
          <w:szCs w:val="18"/>
        </w:rPr>
        <w:t>Kendall’s W test, microfinance, SHG, women empowerment</w:t>
      </w:r>
    </w:p>
    <w:p w:rsidR="00C3635B" w:rsidRPr="00C3635B" w:rsidRDefault="00C3635B" w:rsidP="00C3635B">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p>
    <w:p w:rsidR="00C3635B" w:rsidRDefault="00C3635B" w:rsidP="00C3635B">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F11195" w:rsidRPr="00A247AF" w:rsidRDefault="002C28A7" w:rsidP="00A247AF">
      <w:pPr>
        <w:jc w:val="center"/>
      </w:pPr>
    </w:p>
    <w:sectPr w:rsidR="00F11195"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25206"/>
    <w:rsid w:val="001848BC"/>
    <w:rsid w:val="001A481B"/>
    <w:rsid w:val="002C28A7"/>
    <w:rsid w:val="00363DC1"/>
    <w:rsid w:val="00391F7E"/>
    <w:rsid w:val="0046128E"/>
    <w:rsid w:val="004E7F37"/>
    <w:rsid w:val="005A0735"/>
    <w:rsid w:val="00703F80"/>
    <w:rsid w:val="00757320"/>
    <w:rsid w:val="008825DA"/>
    <w:rsid w:val="00906402"/>
    <w:rsid w:val="00A247AF"/>
    <w:rsid w:val="00C3635B"/>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3</cp:revision>
  <dcterms:created xsi:type="dcterms:W3CDTF">2015-02-07T12:21:00Z</dcterms:created>
  <dcterms:modified xsi:type="dcterms:W3CDTF">2015-02-07T12:26:00Z</dcterms:modified>
</cp:coreProperties>
</file>